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1"/>
        </w:numPr>
      </w:pPr>
      <w:r>
        <w:t>ЗАКЛЮЧЕНИЕ</w:t>
      </w:r>
    </w:p>
    <w:p>
      <w:pPr>
        <w:pStyle w:val="11"/>
        <w:numPr>
          <w:ilvl w:val="4"/>
          <w:numId w:val="1"/>
        </w:numPr>
        <w:rPr>
          <w:sz w:val="28"/>
        </w:rPr>
      </w:pPr>
      <w:bookmarkStart w:id="1" w:name="_GoBack"/>
      <w:r>
        <w:rPr>
          <w:sz w:val="28"/>
        </w:rPr>
        <w:t>о результатах общественных обсуждений</w:t>
      </w:r>
    </w:p>
    <w:bookmarkEnd w:id="1"/>
    <w:p>
      <w:pPr>
        <w:numPr>
          <w:ilvl w:val="0"/>
          <w:numId w:val="1"/>
        </w:numPr>
        <w:jc w:val="center"/>
      </w:pPr>
      <w:r>
        <w:t>2 апреля 2024 года</w:t>
      </w:r>
    </w:p>
    <w:p>
      <w:pPr>
        <w:ind w:firstLine="720"/>
        <w:jc w:val="both"/>
        <w:rPr>
          <w:spacing w:val="-1"/>
        </w:rPr>
      </w:pPr>
    </w:p>
    <w:p>
      <w:pPr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 xml:space="preserve">по адресу: 607600, Нижегородская область, город Богородск, улица Ленина, дом 206, кабинет № 209, </w:t>
      </w:r>
      <w:r>
        <w:rPr>
          <w:spacing w:val="-1"/>
          <w:sz w:val="28"/>
          <w:szCs w:val="28"/>
        </w:rPr>
        <w:t>п</w:t>
      </w:r>
      <w:r>
        <w:rPr>
          <w:spacing w:val="-1"/>
          <w:sz w:val="24"/>
          <w:szCs w:val="24"/>
        </w:rPr>
        <w:t>о проекту предоставления разрешения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условно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земельного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участка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«Магазины» (код 4.4), «Общественное питание» (код 4.6), «Гостиничное обслуживание» (код. 4.7) установленный правилами землепользования и застройки сельского поселения Алешковский сельсовет Богородского муниципального района Нижегородской области, утвержденными решением городской Думы Богородского муниципального района Нижегородской области от 27 июня 2017г №10 (далее — Правила), для территориальной зоны Ж-1- «Зона застройки индивидуальными  жилыми домами», расположенного по адресу: Нижегородская область, Богородский муниципальный округ, д.Антеньево, ул.Центральная, земельный участок 30 (кадастровый номер 52:24:0070202:63)</w:t>
      </w:r>
      <w:r>
        <w:rPr>
          <w:spacing w:val="-1"/>
        </w:rPr>
        <w:t>. Общественные обсуждения</w:t>
      </w:r>
      <w:r>
        <w:t xml:space="preserve"> назначены постановлением главы местного самоуправления Богородского муниципального округа Нижегородской области от 28.02.2024г. №9. </w:t>
      </w:r>
      <w:r>
        <w:rPr>
          <w:spacing w:val="-1"/>
        </w:rPr>
        <w:t xml:space="preserve">Оповещение </w:t>
      </w:r>
      <w:r>
        <w:t>об общественных обсуждений б</w:t>
      </w:r>
      <w:r>
        <w:rPr>
          <w:spacing w:val="-1"/>
        </w:rPr>
        <w:t xml:space="preserve">ыло опубликовано: </w:t>
      </w:r>
      <w:r>
        <w:t>в газете «Богородская газета» 12.03.2024г.</w:t>
      </w:r>
      <w:r>
        <w:rPr>
          <w:spacing w:val="-1"/>
        </w:rPr>
        <w:t xml:space="preserve"> </w:t>
      </w:r>
    </w:p>
    <w:p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>
      <w:pPr>
        <w:ind w:firstLine="709"/>
        <w:jc w:val="both"/>
        <w:rPr>
          <w:b/>
          <w:bCs/>
          <w:u w:val="single"/>
        </w:rPr>
      </w:pPr>
      <w:r>
        <w:t xml:space="preserve">- ИСОО по адресу: </w:t>
      </w:r>
      <w:r>
        <w:rPr>
          <w:b/>
          <w:bCs/>
          <w:u w:val="single"/>
        </w:rPr>
        <w:t>http://градразвитие52.рф.</w:t>
      </w:r>
    </w:p>
    <w:p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Богородского муниципального округа </w:t>
      </w:r>
      <w:r>
        <w:rPr>
          <w:spacing w:val="-2"/>
        </w:rPr>
        <w:t>Нижегородской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bogorodsk</w:t>
      </w:r>
      <w:r>
        <w:rPr>
          <w:spacing w:val="-1"/>
        </w:rPr>
        <w:t>.</w:t>
      </w:r>
      <w:r>
        <w:rPr>
          <w:spacing w:val="-1"/>
          <w:lang w:val="en-US"/>
        </w:rPr>
        <w:t>nobl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>/в разделе «Публичные слушания и обсуждения».</w:t>
      </w:r>
    </w:p>
    <w:p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         Предложения и замечания</w:t>
      </w:r>
      <w:r>
        <w:rPr>
          <w:spacing w:val="-1"/>
          <w:w w:val="95"/>
        </w:rPr>
        <w:t xml:space="preserve">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19.03.2024 по 02.04.2024</w:t>
      </w:r>
      <w:r>
        <w:rPr>
          <w:spacing w:val="-1"/>
        </w:rPr>
        <w:t>. Количество участников общественных обсуждений – 0.</w:t>
      </w:r>
    </w:p>
    <w:p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>Реквизиты протокола общественных обсуждений -  от 3 апреля 2024г.</w:t>
      </w:r>
    </w:p>
    <w:p>
      <w:pPr>
        <w:pStyle w:val="4"/>
        <w:spacing w:before="12" w:after="0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>
      <w:pPr>
        <w:pStyle w:val="4"/>
        <w:widowControl w:val="0"/>
        <w:numPr>
          <w:ilvl w:val="0"/>
          <w:numId w:val="2"/>
        </w:numPr>
        <w:tabs>
          <w:tab w:val="left" w:pos="413"/>
        </w:tabs>
        <w:spacing w:before="1" w:after="0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замечания</w:t>
      </w:r>
      <w:r>
        <w:t xml:space="preserve">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>
      <w:pPr>
        <w:pStyle w:val="4"/>
        <w:widowControl w:val="0"/>
        <w:numPr>
          <w:ilvl w:val="0"/>
          <w:numId w:val="2"/>
        </w:numPr>
        <w:tabs>
          <w:tab w:val="left" w:pos="410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>
      <w:pPr>
        <w:pStyle w:val="4"/>
        <w:spacing w:before="44" w:after="120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>
      <w:pPr>
        <w:ind w:firstLine="720"/>
        <w:jc w:val="both"/>
      </w:pPr>
      <w:r>
        <w:t xml:space="preserve">1. В связи с отсутствием замечаний и предложений направить в </w:t>
      </w:r>
      <w:r>
        <w:rPr>
          <w:sz w:val="24"/>
          <w:szCs w:val="24"/>
        </w:rPr>
        <w:t>министерство градостроительной деятельности и развития агломераций Нижегородской области для принятия решения</w:t>
      </w:r>
      <w:r>
        <w:rPr>
          <w:sz w:val="28"/>
          <w:szCs w:val="28"/>
        </w:rPr>
        <w:t xml:space="preserve"> </w:t>
      </w:r>
      <w:r>
        <w:rPr>
          <w:spacing w:val="-1"/>
          <w:sz w:val="24"/>
          <w:szCs w:val="24"/>
        </w:rPr>
        <w:t>проект предоставления разрешения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условно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земельного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участка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«Магазины» (код 4.4), «Общественное питание» (код 4.6), «Гостиничное обслуживание» (код. 4.7) установленный правилами землепользования и застройки сельского поселения Алешковский сельсовет Богородского муниципального района Нижегородской области, утвержденными решением городской Думы Богородского муниципального района Нижегородской области от 27 июня 2017г №10 (далее — Правила), для территориальной зоны Ж-1- «Зона застройки индивидуальными  жилыми домами», расположенного по адресу: Нижегородская область, Богородский муниципальный округ, д.Антеньево, ул.Центральная, земельный участок 30 (кадастровый номер 52:24:0070202:63)</w:t>
      </w:r>
      <w:r>
        <w:rPr>
          <w:spacing w:val="-1"/>
        </w:rPr>
        <w:t>.</w:t>
      </w:r>
    </w:p>
    <w:p>
      <w:pPr>
        <w:ind w:firstLine="720"/>
        <w:jc w:val="both"/>
        <w:rPr>
          <w:spacing w:val="-1"/>
        </w:rPr>
      </w:pPr>
      <w:r>
        <w:t>2.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/>
    <w:p>
      <w:bookmarkStart w:id="0" w:name="_GoBack"/>
      <w:bookmarkEnd w:id="0"/>
    </w:p>
    <w:p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А.Н.Коротков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>
      <w:pgSz w:w="11906" w:h="16838"/>
      <w:pgMar w:top="56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1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56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20"/>
    </w:pPr>
  </w:style>
  <w:style w:type="paragraph" w:styleId="5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6">
    <w:name w:val="List"/>
    <w:basedOn w:val="4"/>
    <w:qFormat/>
    <w:uiPriority w:val="0"/>
    <w:rPr>
      <w:rFonts w:cs="Mangal"/>
    </w:rPr>
  </w:style>
  <w:style w:type="paragraph" w:customStyle="1" w:styleId="7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8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9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0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1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2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3">
    <w:name w:val="WW8Num1z1"/>
    <w:qFormat/>
    <w:uiPriority w:val="0"/>
  </w:style>
  <w:style w:type="character" w:customStyle="1" w:styleId="14">
    <w:name w:val="WW8Num2z0"/>
    <w:qFormat/>
    <w:uiPriority w:val="0"/>
  </w:style>
  <w:style w:type="character" w:customStyle="1" w:styleId="15">
    <w:name w:val="Основной шрифт абзаца1"/>
    <w:qFormat/>
    <w:uiPriority w:val="0"/>
  </w:style>
  <w:style w:type="character" w:customStyle="1" w:styleId="16">
    <w:name w:val="Номер страницы1"/>
    <w:basedOn w:val="15"/>
    <w:qFormat/>
    <w:uiPriority w:val="0"/>
  </w:style>
  <w:style w:type="character" w:customStyle="1" w:styleId="17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8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19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0">
    <w:name w:val="Название Знак"/>
    <w:qFormat/>
    <w:uiPriority w:val="0"/>
    <w:rPr>
      <w:sz w:val="24"/>
      <w:lang w:bidi="ar-SA"/>
    </w:rPr>
  </w:style>
  <w:style w:type="character" w:customStyle="1" w:styleId="21">
    <w:name w:val="WW8Num3z8"/>
    <w:qFormat/>
    <w:uiPriority w:val="0"/>
  </w:style>
  <w:style w:type="character" w:customStyle="1" w:styleId="22">
    <w:name w:val="WW8Num3z7"/>
    <w:qFormat/>
    <w:uiPriority w:val="0"/>
  </w:style>
  <w:style w:type="character" w:customStyle="1" w:styleId="23">
    <w:name w:val="WW8Num3z6"/>
    <w:qFormat/>
    <w:uiPriority w:val="0"/>
  </w:style>
  <w:style w:type="character" w:customStyle="1" w:styleId="24">
    <w:name w:val="WW8Num3z5"/>
    <w:qFormat/>
    <w:uiPriority w:val="0"/>
  </w:style>
  <w:style w:type="character" w:customStyle="1" w:styleId="25">
    <w:name w:val="WW8Num3z4"/>
    <w:qFormat/>
    <w:uiPriority w:val="0"/>
  </w:style>
  <w:style w:type="character" w:customStyle="1" w:styleId="26">
    <w:name w:val="WW8Num3z3"/>
    <w:qFormat/>
    <w:uiPriority w:val="0"/>
  </w:style>
  <w:style w:type="character" w:customStyle="1" w:styleId="27">
    <w:name w:val="WW8Num3z2"/>
    <w:qFormat/>
    <w:uiPriority w:val="0"/>
  </w:style>
  <w:style w:type="character" w:customStyle="1" w:styleId="28">
    <w:name w:val="WW8Num3z1"/>
    <w:qFormat/>
    <w:uiPriority w:val="0"/>
  </w:style>
  <w:style w:type="character" w:customStyle="1" w:styleId="29">
    <w:name w:val="WW8Num3z0"/>
    <w:qFormat/>
    <w:uiPriority w:val="0"/>
  </w:style>
  <w:style w:type="character" w:customStyle="1" w:styleId="30">
    <w:name w:val="WW8Num2z8"/>
    <w:qFormat/>
    <w:uiPriority w:val="0"/>
  </w:style>
  <w:style w:type="character" w:customStyle="1" w:styleId="31">
    <w:name w:val="WW8Num2z7"/>
    <w:qFormat/>
    <w:uiPriority w:val="0"/>
  </w:style>
  <w:style w:type="character" w:customStyle="1" w:styleId="32">
    <w:name w:val="WW8Num2z6"/>
    <w:qFormat/>
    <w:uiPriority w:val="0"/>
  </w:style>
  <w:style w:type="character" w:customStyle="1" w:styleId="33">
    <w:name w:val="WW8Num2z5"/>
    <w:qFormat/>
    <w:uiPriority w:val="0"/>
  </w:style>
  <w:style w:type="character" w:customStyle="1" w:styleId="34">
    <w:name w:val="WW8Num2z4"/>
    <w:qFormat/>
    <w:uiPriority w:val="0"/>
  </w:style>
  <w:style w:type="character" w:customStyle="1" w:styleId="35">
    <w:name w:val="WW8Num2z3"/>
    <w:qFormat/>
    <w:uiPriority w:val="0"/>
  </w:style>
  <w:style w:type="character" w:customStyle="1" w:styleId="36">
    <w:name w:val="WW8Num2z2"/>
    <w:qFormat/>
    <w:uiPriority w:val="0"/>
  </w:style>
  <w:style w:type="character" w:customStyle="1" w:styleId="37">
    <w:name w:val="WW8Num2z1"/>
    <w:qFormat/>
    <w:uiPriority w:val="0"/>
  </w:style>
  <w:style w:type="character" w:customStyle="1" w:styleId="38">
    <w:name w:val="WW8Num1z8"/>
    <w:qFormat/>
    <w:uiPriority w:val="0"/>
  </w:style>
  <w:style w:type="character" w:customStyle="1" w:styleId="39">
    <w:name w:val="WW8Num1z7"/>
    <w:qFormat/>
    <w:uiPriority w:val="0"/>
  </w:style>
  <w:style w:type="character" w:customStyle="1" w:styleId="40">
    <w:name w:val="WW8Num1z6"/>
    <w:qFormat/>
    <w:uiPriority w:val="0"/>
  </w:style>
  <w:style w:type="character" w:customStyle="1" w:styleId="41">
    <w:name w:val="WW8Num1z5"/>
    <w:qFormat/>
    <w:uiPriority w:val="0"/>
  </w:style>
  <w:style w:type="character" w:customStyle="1" w:styleId="42">
    <w:name w:val="WW8Num1z4"/>
    <w:qFormat/>
    <w:uiPriority w:val="0"/>
  </w:style>
  <w:style w:type="character" w:customStyle="1" w:styleId="43">
    <w:name w:val="WW8Num1z3"/>
    <w:qFormat/>
    <w:uiPriority w:val="0"/>
  </w:style>
  <w:style w:type="character" w:customStyle="1" w:styleId="44">
    <w:name w:val="WW8Num1z2"/>
    <w:qFormat/>
    <w:uiPriority w:val="0"/>
  </w:style>
  <w:style w:type="paragraph" w:customStyle="1" w:styleId="45">
    <w:name w:val="Заголовок"/>
    <w:basedOn w:val="1"/>
    <w:next w:val="4"/>
    <w:qFormat/>
    <w:uiPriority w:val="0"/>
    <w:pPr>
      <w:jc w:val="center"/>
    </w:pPr>
    <w:rPr>
      <w:sz w:val="28"/>
    </w:rPr>
  </w:style>
  <w:style w:type="paragraph" w:customStyle="1" w:styleId="4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7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8">
    <w:name w:val="Указатель1"/>
    <w:basedOn w:val="1"/>
    <w:qFormat/>
    <w:uiPriority w:val="0"/>
    <w:rPr>
      <w:rFonts w:cs="Mangal"/>
    </w:rPr>
  </w:style>
  <w:style w:type="paragraph" w:customStyle="1" w:styleId="49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0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1">
    <w:name w:val="Колонтитул"/>
    <w:basedOn w:val="1"/>
    <w:qFormat/>
    <w:uiPriority w:val="0"/>
  </w:style>
  <w:style w:type="paragraph" w:customStyle="1" w:styleId="52">
    <w:name w:val="Footer"/>
    <w:basedOn w:val="1"/>
    <w:uiPriority w:val="0"/>
    <w:pPr>
      <w:tabs>
        <w:tab w:val="center" w:pos="4677"/>
        <w:tab w:val="right" w:pos="9355"/>
      </w:tabs>
    </w:pPr>
  </w:style>
  <w:style w:type="paragraph" w:customStyle="1" w:styleId="53">
    <w:name w:val="Header"/>
    <w:basedOn w:val="1"/>
    <w:uiPriority w:val="0"/>
    <w:pPr>
      <w:tabs>
        <w:tab w:val="center" w:pos="4677"/>
        <w:tab w:val="right" w:pos="9355"/>
      </w:tabs>
    </w:pPr>
  </w:style>
  <w:style w:type="paragraph" w:customStyle="1" w:styleId="54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5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6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7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59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0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1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2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3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2830</Characters>
  <Paragraphs>19</Paragraphs>
  <TotalTime>91</TotalTime>
  <ScaleCrop>false</ScaleCrop>
  <LinksUpToDate>false</LinksUpToDate>
  <CharactersWithSpaces>3224</CharactersWithSpaces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2024-04-04T14:40:00Z</cp:lastPrinted>
  <dcterms:modified xsi:type="dcterms:W3CDTF">2024-04-08T11:17:31Z</dcterms:modified>
  <dc:title>Земское собрание Богородского района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3823779BB6DF457588065F0BF136AAA1_13</vt:lpwstr>
  </property>
  <property fmtid="{D5CDD505-2E9C-101B-9397-08002B2CF9AE}" pid="3" name="KSOProductBuildVer">
    <vt:lpwstr>1049-12.2.0.13306</vt:lpwstr>
  </property>
</Properties>
</file>